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5D8" w:rsidRDefault="00FB3516">
      <w:pPr>
        <w:pStyle w:val="a8"/>
        <w:snapToGrid w:val="0"/>
        <w:jc w:val="center"/>
        <w:rPr>
          <w:rStyle w:val="NormalCharacter"/>
          <w:rFonts w:ascii="黑体" w:eastAsia="黑体" w:hAnsi="黑体"/>
          <w:sz w:val="36"/>
          <w:szCs w:val="36"/>
        </w:rPr>
      </w:pPr>
      <w:r>
        <w:rPr>
          <w:rStyle w:val="NormalCharacter"/>
          <w:rFonts w:ascii="黑体" w:eastAsia="黑体" w:hAnsi="黑体"/>
          <w:sz w:val="36"/>
          <w:szCs w:val="36"/>
        </w:rPr>
        <w:t>南京林业大学本科生赴国际组织实习加分认定工作细则</w:t>
      </w:r>
    </w:p>
    <w:p w:rsidR="007A45D8" w:rsidRDefault="007A45D8">
      <w:pPr>
        <w:snapToGrid w:val="0"/>
        <w:rPr>
          <w:rStyle w:val="NormalCharacter"/>
        </w:rPr>
      </w:pPr>
    </w:p>
    <w:p w:rsidR="007A45D8" w:rsidRDefault="00FB3516">
      <w:pPr>
        <w:pStyle w:val="179"/>
        <w:snapToGrid w:val="0"/>
        <w:spacing w:after="0" w:line="520" w:lineRule="exact"/>
        <w:ind w:left="0" w:firstLineChars="200" w:firstLine="600"/>
        <w:jc w:val="both"/>
        <w:rPr>
          <w:rStyle w:val="NormalCharacter"/>
          <w:rFonts w:eastAsia="仿宋"/>
          <w:sz w:val="30"/>
          <w:szCs w:val="30"/>
        </w:rPr>
      </w:pPr>
      <w:r>
        <w:rPr>
          <w:rStyle w:val="NormalCharacter"/>
          <w:rFonts w:eastAsia="仿宋"/>
          <w:sz w:val="30"/>
          <w:szCs w:val="30"/>
        </w:rPr>
        <w:t>根据《全国普通高等学校推荐优秀应届本科毕业生免试攻读硕士学位研究生工作管理办法（试行）》</w:t>
      </w:r>
      <w:r w:rsidR="00F9279E">
        <w:rPr>
          <w:rStyle w:val="NormalCharacter"/>
          <w:rFonts w:eastAsia="仿宋"/>
          <w:sz w:val="30"/>
          <w:szCs w:val="30"/>
        </w:rPr>
        <w:t>(</w:t>
      </w:r>
      <w:r>
        <w:rPr>
          <w:rStyle w:val="NormalCharacter"/>
          <w:rFonts w:eastAsia="仿宋"/>
          <w:sz w:val="30"/>
          <w:szCs w:val="30"/>
        </w:rPr>
        <w:t>教学〔2006〕14号）《教育部办公厅关于进一步规范和加强推荐优秀应届本科毕业生免试攻读研究生工作的通知》（教学厅〔2020〕12号）等文件精神，为保障南京林业大学</w:t>
      </w:r>
      <w:proofErr w:type="gramStart"/>
      <w:r>
        <w:rPr>
          <w:rStyle w:val="NormalCharacter"/>
          <w:rFonts w:eastAsia="仿宋"/>
          <w:sz w:val="30"/>
          <w:szCs w:val="30"/>
        </w:rPr>
        <w:t>本科生推免工作</w:t>
      </w:r>
      <w:proofErr w:type="gramEnd"/>
      <w:r>
        <w:rPr>
          <w:rStyle w:val="NormalCharacter"/>
          <w:rFonts w:eastAsia="仿宋"/>
          <w:sz w:val="30"/>
          <w:szCs w:val="30"/>
        </w:rPr>
        <w:t>的正常开展，规范本科生赴国际组织实习加分认定工作，特制定本工作细则。</w:t>
      </w:r>
    </w:p>
    <w:p w:rsidR="007A45D8" w:rsidRDefault="00FB3516">
      <w:pPr>
        <w:pStyle w:val="179"/>
        <w:snapToGrid w:val="0"/>
        <w:spacing w:after="0" w:line="520" w:lineRule="exact"/>
        <w:ind w:left="0" w:firstLineChars="200" w:firstLine="600"/>
        <w:jc w:val="both"/>
        <w:rPr>
          <w:rStyle w:val="NormalCharacter"/>
          <w:rFonts w:eastAsia="仿宋"/>
          <w:sz w:val="30"/>
          <w:szCs w:val="30"/>
        </w:rPr>
      </w:pPr>
      <w:r>
        <w:rPr>
          <w:rStyle w:val="NormalCharacter"/>
          <w:rFonts w:eastAsia="仿宋"/>
          <w:sz w:val="30"/>
          <w:szCs w:val="30"/>
        </w:rPr>
        <w:t>1.本细则所指国际组织是具有国际性行业特征，由两个或两个以上国家（或其它法律主体）为实现共同的政治经济目的，依据其缔结的条约或其它正式法律文件建立的有一定规章制度的常设性机构</w:t>
      </w:r>
      <w:r w:rsidR="00F9279E">
        <w:rPr>
          <w:rStyle w:val="NormalCharacter"/>
          <w:rFonts w:eastAsia="仿宋"/>
          <w:sz w:val="30"/>
          <w:szCs w:val="30"/>
        </w:rPr>
        <w:t>,</w:t>
      </w:r>
      <w:r w:rsidR="00F9279E" w:rsidRPr="00F9279E">
        <w:rPr>
          <w:rStyle w:val="NormalCharacter"/>
          <w:rFonts w:eastAsia="仿宋"/>
          <w:sz w:val="30"/>
          <w:szCs w:val="30"/>
        </w:rPr>
        <w:t>具体以人力资源和社会保障部认定的最新国际组织名单为准（见附件1）</w:t>
      </w:r>
      <w:r>
        <w:rPr>
          <w:rStyle w:val="NormalCharacter"/>
          <w:rFonts w:eastAsia="仿宋"/>
          <w:sz w:val="30"/>
          <w:szCs w:val="30"/>
        </w:rPr>
        <w:t>。</w:t>
      </w:r>
    </w:p>
    <w:p w:rsidR="007A45D8" w:rsidRDefault="00FB3516">
      <w:pPr>
        <w:pStyle w:val="179"/>
        <w:snapToGrid w:val="0"/>
        <w:spacing w:after="0" w:line="520" w:lineRule="exact"/>
        <w:ind w:left="0" w:firstLineChars="200" w:firstLine="600"/>
        <w:jc w:val="both"/>
        <w:rPr>
          <w:rStyle w:val="NormalCharacter"/>
          <w:rFonts w:eastAsia="仿宋"/>
          <w:sz w:val="30"/>
          <w:szCs w:val="30"/>
        </w:rPr>
      </w:pPr>
      <w:r>
        <w:rPr>
          <w:rStyle w:val="NormalCharacter"/>
          <w:rFonts w:eastAsia="仿宋"/>
          <w:sz w:val="30"/>
          <w:szCs w:val="30"/>
        </w:rPr>
        <w:t>2.学生在国际组织的实习是指通过国际组织的测试和考核，正式获得实习生身份，在国际组织固定岗位工作并最终获得官方出具的实习证明，学生的实习期限原则上需达到两个月以上。</w:t>
      </w:r>
    </w:p>
    <w:p w:rsidR="007A45D8" w:rsidRDefault="00FB3516" w:rsidP="00F9279E">
      <w:pPr>
        <w:pStyle w:val="179"/>
        <w:snapToGrid w:val="0"/>
        <w:spacing w:after="0" w:line="520" w:lineRule="exact"/>
        <w:ind w:left="0" w:firstLineChars="200" w:firstLine="600"/>
        <w:jc w:val="both"/>
        <w:rPr>
          <w:rStyle w:val="NormalCharacter"/>
          <w:rFonts w:eastAsia="仿宋"/>
          <w:sz w:val="30"/>
          <w:szCs w:val="30"/>
        </w:rPr>
      </w:pPr>
      <w:r>
        <w:rPr>
          <w:rStyle w:val="NormalCharacter"/>
          <w:rFonts w:eastAsia="仿宋"/>
          <w:sz w:val="30"/>
          <w:szCs w:val="30"/>
        </w:rPr>
        <w:t>3.根据规定，赴国际组织实习</w:t>
      </w:r>
      <w:r w:rsidRPr="00F9279E">
        <w:rPr>
          <w:rStyle w:val="NormalCharacter"/>
          <w:rFonts w:eastAsia="仿宋"/>
          <w:sz w:val="30"/>
          <w:szCs w:val="30"/>
        </w:rPr>
        <w:t>的学生在推荐优秀应届本科毕业生免试攻读研究生时，给予一定的加分奖励。学生赴国际组织实习加分由</w:t>
      </w:r>
      <w:r w:rsidR="00F9279E" w:rsidRPr="00F9279E">
        <w:rPr>
          <w:rStyle w:val="NormalCharacter"/>
          <w:rFonts w:eastAsia="仿宋"/>
          <w:sz w:val="30"/>
          <w:szCs w:val="30"/>
        </w:rPr>
        <w:t>相关学院审核汇总后，统一提交国际合作处考核小组进行认定</w:t>
      </w:r>
      <w:r w:rsidRPr="008F2C7B">
        <w:rPr>
          <w:rStyle w:val="NormalCharacter"/>
          <w:rFonts w:eastAsia="仿宋"/>
          <w:sz w:val="30"/>
          <w:szCs w:val="30"/>
        </w:rPr>
        <w:t>，认定结果报送学生所在学院。</w:t>
      </w:r>
    </w:p>
    <w:p w:rsidR="007A45D8" w:rsidRDefault="00FB3516">
      <w:pPr>
        <w:pStyle w:val="179"/>
        <w:snapToGrid w:val="0"/>
        <w:spacing w:after="0" w:line="520" w:lineRule="exact"/>
        <w:ind w:left="0" w:firstLineChars="200" w:firstLine="600"/>
        <w:jc w:val="both"/>
        <w:rPr>
          <w:rStyle w:val="NormalCharacter"/>
          <w:rFonts w:eastAsia="仿宋"/>
          <w:sz w:val="30"/>
          <w:szCs w:val="30"/>
        </w:rPr>
      </w:pPr>
      <w:r>
        <w:rPr>
          <w:rStyle w:val="NormalCharacter"/>
          <w:rFonts w:eastAsia="仿宋"/>
          <w:sz w:val="30"/>
          <w:szCs w:val="30"/>
        </w:rPr>
        <w:t>4.</w:t>
      </w:r>
      <w:r w:rsidR="00F9279E" w:rsidRPr="00F9279E">
        <w:rPr>
          <w:rStyle w:val="NormalCharacter"/>
          <w:rFonts w:eastAsia="仿宋"/>
          <w:sz w:val="30"/>
          <w:szCs w:val="30"/>
        </w:rPr>
        <w:t xml:space="preserve"> 对于满足以上要求的实习经历，</w:t>
      </w:r>
      <w:r>
        <w:rPr>
          <w:rStyle w:val="NormalCharacter"/>
          <w:rFonts w:eastAsia="仿宋"/>
          <w:sz w:val="30"/>
          <w:szCs w:val="30"/>
        </w:rPr>
        <w:t>学校给予国际组织实习标准分（T）100分，赴国际组织实习</w:t>
      </w:r>
      <w:r w:rsidR="005A37E8">
        <w:rPr>
          <w:rStyle w:val="NormalCharacter"/>
          <w:rFonts w:eastAsia="仿宋"/>
          <w:sz w:val="30"/>
          <w:szCs w:val="30"/>
        </w:rPr>
        <w:t>得分=</w:t>
      </w:r>
      <w:r>
        <w:rPr>
          <w:rStyle w:val="NormalCharacter"/>
          <w:rFonts w:eastAsia="仿宋"/>
          <w:sz w:val="30"/>
          <w:szCs w:val="30"/>
        </w:rPr>
        <w:t>T×1.5％。</w:t>
      </w:r>
    </w:p>
    <w:p w:rsidR="007A45D8" w:rsidRDefault="00F32496">
      <w:pPr>
        <w:pStyle w:val="179"/>
        <w:snapToGrid w:val="0"/>
        <w:spacing w:after="0" w:line="520" w:lineRule="exact"/>
        <w:ind w:left="0" w:firstLineChars="200" w:firstLine="600"/>
        <w:jc w:val="both"/>
        <w:rPr>
          <w:rStyle w:val="NormalCharacter"/>
          <w:rFonts w:eastAsia="仿宋"/>
          <w:sz w:val="30"/>
          <w:szCs w:val="30"/>
        </w:rPr>
      </w:pPr>
      <w:r>
        <w:rPr>
          <w:rStyle w:val="NormalCharacter"/>
          <w:rFonts w:eastAsia="仿宋"/>
          <w:sz w:val="30"/>
          <w:szCs w:val="30"/>
        </w:rPr>
        <w:t>学生如因不可抗力因素导致未完成全部实习工作</w:t>
      </w:r>
      <w:r w:rsidR="00FB3516">
        <w:rPr>
          <w:rStyle w:val="NormalCharacter"/>
          <w:rFonts w:eastAsia="仿宋"/>
          <w:sz w:val="30"/>
          <w:szCs w:val="30"/>
        </w:rPr>
        <w:t>，学校根据客观事由、实际实习时间等因素酌情折算部分标准分。</w:t>
      </w:r>
    </w:p>
    <w:p w:rsidR="007A45D8" w:rsidRDefault="00DA6B36">
      <w:pPr>
        <w:pStyle w:val="179"/>
        <w:snapToGrid w:val="0"/>
        <w:spacing w:after="0" w:line="520" w:lineRule="exact"/>
        <w:ind w:left="0" w:firstLineChars="200" w:firstLine="600"/>
        <w:jc w:val="both"/>
        <w:rPr>
          <w:rStyle w:val="NormalCharacter"/>
          <w:rFonts w:eastAsia="仿宋"/>
          <w:sz w:val="30"/>
          <w:szCs w:val="30"/>
        </w:rPr>
      </w:pPr>
      <w:r>
        <w:rPr>
          <w:rStyle w:val="NormalCharacter"/>
          <w:rFonts w:eastAsia="仿宋"/>
          <w:sz w:val="30"/>
          <w:szCs w:val="30"/>
        </w:rPr>
        <w:lastRenderedPageBreak/>
        <w:t>5</w:t>
      </w:r>
      <w:r w:rsidR="00FB3516">
        <w:rPr>
          <w:rStyle w:val="NormalCharacter"/>
          <w:rFonts w:eastAsia="仿宋"/>
          <w:sz w:val="30"/>
          <w:szCs w:val="30"/>
        </w:rPr>
        <w:t>.国际合作处作为学校外事归口管理部门，负责本工作细则的解释工作。</w:t>
      </w:r>
    </w:p>
    <w:p w:rsidR="007A45D8" w:rsidRDefault="007A45D8">
      <w:pPr>
        <w:pStyle w:val="179"/>
        <w:snapToGrid w:val="0"/>
        <w:spacing w:after="0" w:line="520" w:lineRule="exact"/>
        <w:ind w:left="0" w:firstLineChars="200" w:firstLine="600"/>
        <w:jc w:val="both"/>
        <w:rPr>
          <w:rStyle w:val="NormalCharacter"/>
          <w:rFonts w:eastAsia="仿宋"/>
          <w:sz w:val="30"/>
          <w:szCs w:val="30"/>
        </w:rPr>
      </w:pPr>
    </w:p>
    <w:p w:rsidR="007A45D8" w:rsidRDefault="007A45D8">
      <w:pPr>
        <w:pStyle w:val="179"/>
        <w:snapToGrid w:val="0"/>
        <w:spacing w:after="0" w:line="520" w:lineRule="exact"/>
        <w:ind w:left="0" w:firstLineChars="200" w:firstLine="600"/>
        <w:jc w:val="both"/>
        <w:rPr>
          <w:rStyle w:val="NormalCharacter"/>
          <w:rFonts w:eastAsia="仿宋"/>
          <w:sz w:val="30"/>
          <w:szCs w:val="30"/>
        </w:rPr>
      </w:pPr>
    </w:p>
    <w:p w:rsidR="007A45D8" w:rsidRDefault="00FB3516">
      <w:pPr>
        <w:pStyle w:val="179"/>
        <w:snapToGrid w:val="0"/>
        <w:spacing w:after="0" w:line="520" w:lineRule="exact"/>
        <w:ind w:left="0" w:firstLineChars="200" w:firstLine="600"/>
        <w:jc w:val="center"/>
        <w:rPr>
          <w:rStyle w:val="NormalCharacter"/>
          <w:rFonts w:eastAsia="仿宋"/>
          <w:sz w:val="30"/>
          <w:szCs w:val="30"/>
        </w:rPr>
      </w:pPr>
      <w:r>
        <w:rPr>
          <w:rStyle w:val="NormalCharacter"/>
          <w:rFonts w:eastAsia="仿宋"/>
          <w:sz w:val="30"/>
          <w:szCs w:val="30"/>
        </w:rPr>
        <w:t xml:space="preserve">                                     国际合作处</w:t>
      </w:r>
    </w:p>
    <w:p w:rsidR="007A45D8" w:rsidRDefault="00FB3516">
      <w:pPr>
        <w:pStyle w:val="179"/>
        <w:snapToGrid w:val="0"/>
        <w:spacing w:after="0" w:line="520" w:lineRule="exact"/>
        <w:ind w:left="0" w:firstLineChars="200" w:firstLine="600"/>
        <w:jc w:val="right"/>
        <w:rPr>
          <w:rStyle w:val="NormalCharacter"/>
          <w:rFonts w:eastAsia="仿宋"/>
          <w:sz w:val="30"/>
          <w:szCs w:val="30"/>
        </w:rPr>
      </w:pPr>
      <w:r>
        <w:rPr>
          <w:rStyle w:val="NormalCharacter"/>
          <w:rFonts w:eastAsia="仿宋"/>
          <w:sz w:val="30"/>
          <w:szCs w:val="30"/>
        </w:rPr>
        <w:t>202</w:t>
      </w:r>
      <w:r w:rsidR="001E4116">
        <w:rPr>
          <w:rStyle w:val="NormalCharacter"/>
          <w:rFonts w:eastAsia="仿宋"/>
          <w:sz w:val="30"/>
          <w:szCs w:val="30"/>
        </w:rPr>
        <w:t>2</w:t>
      </w:r>
      <w:r>
        <w:rPr>
          <w:rStyle w:val="NormalCharacter"/>
          <w:rFonts w:eastAsia="仿宋"/>
          <w:sz w:val="30"/>
          <w:szCs w:val="30"/>
        </w:rPr>
        <w:t>年9月</w:t>
      </w:r>
      <w:r w:rsidR="00887A58">
        <w:rPr>
          <w:rStyle w:val="NormalCharacter"/>
          <w:rFonts w:eastAsia="仿宋"/>
          <w:sz w:val="30"/>
          <w:szCs w:val="30"/>
        </w:rPr>
        <w:t>1</w:t>
      </w:r>
      <w:r>
        <w:rPr>
          <w:rStyle w:val="NormalCharacter"/>
          <w:rFonts w:eastAsia="仿宋"/>
          <w:sz w:val="30"/>
          <w:szCs w:val="30"/>
        </w:rPr>
        <w:t>日</w:t>
      </w:r>
    </w:p>
    <w:p w:rsidR="007A45D8" w:rsidRDefault="00FB3516" w:rsidP="001D1153">
      <w:pPr>
        <w:snapToGrid w:val="0"/>
        <w:rPr>
          <w:rStyle w:val="NormalCharacter"/>
          <w:rFonts w:eastAsia="仿宋"/>
          <w:sz w:val="28"/>
          <w:szCs w:val="28"/>
        </w:rPr>
      </w:pPr>
      <w:r>
        <w:rPr>
          <w:rStyle w:val="NormalCharacter"/>
          <w:rFonts w:eastAsia="仿宋"/>
          <w:sz w:val="28"/>
          <w:szCs w:val="28"/>
        </w:rPr>
        <w:br/>
      </w:r>
    </w:p>
    <w:p w:rsidR="007A45D8" w:rsidRDefault="00F83169" w:rsidP="001E4116">
      <w:pPr>
        <w:snapToGrid w:val="0"/>
        <w:jc w:val="center"/>
        <w:rPr>
          <w:rStyle w:val="NormalCharacter"/>
          <w:rFonts w:ascii="宋体" w:eastAsia="宋体" w:hAnsi="宋体"/>
          <w:b/>
          <w:bCs/>
        </w:rPr>
      </w:pPr>
      <w:r>
        <w:rPr>
          <w:rStyle w:val="NormalCharacter"/>
          <w:rFonts w:ascii="宋体" w:eastAsia="宋体" w:hAnsi="宋体"/>
          <w:b/>
          <w:bCs/>
        </w:rPr>
        <w:br w:type="page"/>
      </w:r>
      <w:bookmarkStart w:id="0" w:name="_GoBack"/>
      <w:bookmarkEnd w:id="0"/>
      <w:r w:rsidR="00FB3516" w:rsidRPr="00817241">
        <w:rPr>
          <w:rStyle w:val="NormalCharacter"/>
          <w:rFonts w:ascii="宋体" w:eastAsia="宋体" w:hAnsi="宋体"/>
          <w:b/>
          <w:bCs/>
        </w:rPr>
        <w:lastRenderedPageBreak/>
        <w:t>附件1  202</w:t>
      </w:r>
      <w:r w:rsidR="001E4116">
        <w:rPr>
          <w:rStyle w:val="NormalCharacter"/>
          <w:rFonts w:ascii="宋体" w:eastAsia="宋体" w:hAnsi="宋体"/>
          <w:b/>
          <w:bCs/>
        </w:rPr>
        <w:t>2</w:t>
      </w:r>
      <w:r w:rsidR="00FB3516" w:rsidRPr="00817241">
        <w:rPr>
          <w:rStyle w:val="NormalCharacter"/>
          <w:rFonts w:ascii="宋体" w:eastAsia="宋体" w:hAnsi="宋体"/>
          <w:b/>
          <w:bCs/>
        </w:rPr>
        <w:t>年国家加入或认可的主要国际组织一览表</w:t>
      </w:r>
    </w:p>
    <w:p w:rsidR="007A45D8" w:rsidRDefault="00FB3516" w:rsidP="001D1153">
      <w:pPr>
        <w:snapToGrid w:val="0"/>
        <w:jc w:val="center"/>
        <w:rPr>
          <w:rStyle w:val="NormalCharacter"/>
          <w:rFonts w:ascii="宋体" w:eastAsia="宋体" w:hAnsi="宋体"/>
          <w:b/>
          <w:bCs/>
        </w:rPr>
      </w:pPr>
      <w:r w:rsidRPr="00817241">
        <w:rPr>
          <w:rStyle w:val="NormalCharacter"/>
          <w:rFonts w:ascii="宋体" w:eastAsia="宋体" w:hAnsi="宋体"/>
          <w:b/>
          <w:bCs/>
        </w:rPr>
        <w:t>（来源：人力资源和社会保障部）</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7E0" w:firstRow="1" w:lastRow="1" w:firstColumn="1" w:lastColumn="1" w:noHBand="1" w:noVBand="1"/>
      </w:tblPr>
      <w:tblGrid>
        <w:gridCol w:w="1413"/>
        <w:gridCol w:w="1417"/>
        <w:gridCol w:w="6379"/>
      </w:tblGrid>
      <w:tr w:rsidR="007A45D8">
        <w:trPr>
          <w:jc w:val="center"/>
        </w:trPr>
        <w:tc>
          <w:tcPr>
            <w:tcW w:w="1413" w:type="dxa"/>
            <w:tcBorders>
              <w:top w:val="single" w:sz="4" w:space="0" w:color="000000"/>
              <w:left w:val="single" w:sz="4" w:space="0" w:color="000000"/>
              <w:bottom w:val="single" w:sz="4" w:space="0" w:color="000000"/>
              <w:right w:val="single" w:sz="4" w:space="0" w:color="000000"/>
            </w:tcBorders>
            <w:vAlign w:val="center"/>
          </w:tcPr>
          <w:p w:rsidR="007A45D8" w:rsidRDefault="00FB3516" w:rsidP="00817241">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类型</w:t>
            </w: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817241">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序号</w:t>
            </w:r>
          </w:p>
        </w:tc>
        <w:tc>
          <w:tcPr>
            <w:tcW w:w="6379" w:type="dxa"/>
            <w:tcBorders>
              <w:top w:val="single" w:sz="4" w:space="0" w:color="000000"/>
              <w:left w:val="single" w:sz="4" w:space="0" w:color="000000"/>
              <w:bottom w:val="single" w:sz="4" w:space="0" w:color="000000"/>
              <w:right w:val="single" w:sz="4" w:space="0" w:color="000000"/>
            </w:tcBorders>
            <w:vAlign w:val="center"/>
          </w:tcPr>
          <w:p w:rsidR="007A45D8" w:rsidRDefault="00FB3516" w:rsidP="00817241">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国际组织名称</w:t>
            </w:r>
          </w:p>
        </w:tc>
      </w:tr>
      <w:tr w:rsidR="007A45D8">
        <w:trPr>
          <w:jc w:val="center"/>
        </w:trPr>
        <w:tc>
          <w:tcPr>
            <w:tcW w:w="1413" w:type="dxa"/>
            <w:vMerge w:val="restart"/>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w:t>
            </w:r>
          </w:p>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系统</w:t>
            </w: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w:t>
            </w:r>
            <w:r w:rsidR="001554E5">
              <w:rPr>
                <w:rStyle w:val="NormalCharacter"/>
                <w:rFonts w:ascii="宋体" w:eastAsia="宋体" w:hAnsi="宋体"/>
                <w:kern w:val="2"/>
              </w:rPr>
              <w:t>（UN）</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联合国日内瓦办事处（UNOG）</w:t>
            </w:r>
          </w:p>
        </w:tc>
      </w:tr>
      <w:tr w:rsidR="007A45D8">
        <w:trPr>
          <w:trHeight w:val="431"/>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w:t>
            </w:r>
          </w:p>
        </w:tc>
        <w:tc>
          <w:tcPr>
            <w:tcW w:w="6379"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联合国维也纳办事处(UNOV)</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联合国开发计划署（UNDP）</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联合国环境规划署（UNEP）</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联合国贸易和发展会议（UNCTAD）</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联合国人权事务高级专员办公室（UNOHCHR）</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中央应急基金（CERF）</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联合国人口基金（UNFPA）</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联合国儿童基金会（UNICEF）</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联合国难民事务高级专员公署（UNHCR）</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世界粮食计划署（WFP）</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联合国人居署（UN-Habitat）</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联合国妇女署（UN Women）</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联合国艾滋病规划署（UNAIDS）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联合国训练研究所（UNITAR）</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国际劳工组织（ILO）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联合国粮食及农业组织（FAO）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联合国教育、科学及文化组织（UNESCO）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世界卫生组织（WHO）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世界货币基金组织（IMF）</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世界银行集团（WBG）</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国际民用航空组织（ICAO）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万国邮政联盟（UPU）</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国际电信联盟（ITU）</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世界气象组织（WMO）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国际海事组织（IMO）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世界知识产权组织（WIPO）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国际农业发展基金会（IFAD）</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联合国工业发展组织（UNIDO）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国际原子能机构（IAEA）</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世界旅游组织（UNWTO）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世界贸易组织（WTO）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国际贸易中心（ITC）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联合国亚太经社会（ESCAP）</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联合国可持续农业机械化中心（CSAM）</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联合国亚太技术转移中心（UNAPCTT）</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联合国国际贸易法委员会（UNCITRAL）</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联合国气候变化框架公约秘书处（UNFCCC）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联合国科技促进发展委员会（CSTD）</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联合国毒品和犯罪问题办公室（UNODC）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全面禁止核试验条约组织（CTBTO）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禁</w:t>
            </w:r>
            <w:r w:rsidR="00431F2B">
              <w:rPr>
                <w:rStyle w:val="NormalCharacter"/>
                <w:rFonts w:ascii="宋体" w:eastAsia="宋体" w:hAnsi="宋体"/>
                <w:kern w:val="2"/>
              </w:rPr>
              <w:t>止</w:t>
            </w:r>
            <w:r w:rsidRPr="00817241">
              <w:rPr>
                <w:rStyle w:val="NormalCharacter"/>
                <w:rFonts w:ascii="宋体" w:eastAsia="宋体" w:hAnsi="宋体"/>
                <w:kern w:val="2"/>
              </w:rPr>
              <w:t>化</w:t>
            </w:r>
            <w:r w:rsidR="00431F2B">
              <w:rPr>
                <w:rStyle w:val="NormalCharacter"/>
                <w:rFonts w:ascii="宋体" w:eastAsia="宋体" w:hAnsi="宋体"/>
                <w:kern w:val="2"/>
              </w:rPr>
              <w:t>学</w:t>
            </w:r>
            <w:r w:rsidRPr="00817241">
              <w:rPr>
                <w:rStyle w:val="NormalCharacter"/>
                <w:rFonts w:ascii="宋体" w:eastAsia="宋体" w:hAnsi="宋体"/>
                <w:kern w:val="2"/>
              </w:rPr>
              <w:t>武</w:t>
            </w:r>
            <w:r w:rsidR="00431F2B">
              <w:rPr>
                <w:rStyle w:val="NormalCharacter"/>
                <w:rFonts w:ascii="宋体" w:eastAsia="宋体" w:hAnsi="宋体"/>
                <w:kern w:val="2"/>
              </w:rPr>
              <w:t>器</w:t>
            </w:r>
            <w:r w:rsidRPr="00817241">
              <w:rPr>
                <w:rStyle w:val="NormalCharacter"/>
                <w:rFonts w:ascii="宋体" w:eastAsia="宋体" w:hAnsi="宋体"/>
                <w:kern w:val="2"/>
              </w:rPr>
              <w:t>组织（OPCW）</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国际法院（ICJ）</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联合国国际法委员会（ILC）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前南斯拉夫国际刑事法庭（ICTY）</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联合国系统行政首长协调理事会（UNSCEB）</w:t>
            </w:r>
          </w:p>
        </w:tc>
      </w:tr>
      <w:tr w:rsidR="007A45D8">
        <w:trPr>
          <w:jc w:val="center"/>
        </w:trPr>
        <w:tc>
          <w:tcPr>
            <w:tcW w:w="1413" w:type="dxa"/>
            <w:vMerge w:val="restart"/>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经济金融领域</w:t>
            </w: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亚洲基础设施投资银行（AIIB）</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亚洲开发银行（ADB）</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泛美开发银行（IADB）</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中国-东盟中心(ASEAN-China Centre）</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东南非贸易与开发银行（PTA Bank）</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经合组织 (OECD)</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中日韩三国合作秘书处（TCS）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亚太经合组织（APEC）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C97C43"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hint="eastAsia"/>
                <w:kern w:val="2"/>
              </w:rPr>
              <w:t>非</w:t>
            </w:r>
            <w:r w:rsidR="00FB3516" w:rsidRPr="00817241">
              <w:rPr>
                <w:rStyle w:val="NormalCharacter"/>
                <w:rFonts w:ascii="宋体" w:eastAsia="宋体" w:hAnsi="宋体"/>
                <w:kern w:val="2"/>
              </w:rPr>
              <w:t>洲开发银行（ADB）</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东盟与中日韩宏观经济研究办公室（AMRO）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国际清算银行（BIS）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亚欧基金（ASEF）</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西非开发银行（BOAD）</w:t>
            </w:r>
          </w:p>
        </w:tc>
      </w:tr>
      <w:tr w:rsidR="007A45D8">
        <w:trPr>
          <w:jc w:val="center"/>
        </w:trPr>
        <w:tc>
          <w:tcPr>
            <w:tcW w:w="1413" w:type="dxa"/>
            <w:vMerge w:val="restart"/>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粮食、能源、卫生、海事、民航等领域</w:t>
            </w: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国际山地综合发展中心（ICIMOD）</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世界动物卫生组织（OIE）</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国际海底管理局（ISA）</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国际移民组织（IOM）</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生物多样性公约秘书处（CBD）</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国际奥委会（IOC）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亚太邮政联盟（APPU）</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国际能源署（IEA）</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红十字会与红新月国际联合会（IFRC）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全球环境基金秘书处（GEF）</w:t>
            </w:r>
          </w:p>
        </w:tc>
      </w:tr>
      <w:tr w:rsidR="005C5577" w:rsidTr="00E6575C">
        <w:trPr>
          <w:jc w:val="center"/>
        </w:trPr>
        <w:tc>
          <w:tcPr>
            <w:tcW w:w="1413" w:type="dxa"/>
            <w:vMerge w:val="restart"/>
            <w:tcBorders>
              <w:top w:val="single" w:sz="4" w:space="0" w:color="000000"/>
              <w:left w:val="single" w:sz="4" w:space="0" w:color="000000"/>
              <w:right w:val="single" w:sz="4" w:space="0" w:color="000000"/>
            </w:tcBorders>
            <w:vAlign w:val="center"/>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知识产权、安全、法律领域</w:t>
            </w:r>
          </w:p>
        </w:tc>
        <w:tc>
          <w:tcPr>
            <w:tcW w:w="1417" w:type="dxa"/>
            <w:tcBorders>
              <w:top w:val="single" w:sz="4" w:space="0" w:color="000000"/>
              <w:left w:val="single" w:sz="4" w:space="0" w:color="000000"/>
              <w:bottom w:val="single" w:sz="4" w:space="0" w:color="000000"/>
              <w:right w:val="single" w:sz="4" w:space="0" w:color="000000"/>
            </w:tcBorders>
            <w:vAlign w:val="center"/>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w:t>
            </w:r>
          </w:p>
        </w:tc>
        <w:tc>
          <w:tcPr>
            <w:tcW w:w="6379" w:type="dxa"/>
            <w:tcBorders>
              <w:top w:val="single" w:sz="4" w:space="0" w:color="000000"/>
              <w:left w:val="single" w:sz="4" w:space="0" w:color="000000"/>
              <w:bottom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国际刑警组织（ICPO）</w:t>
            </w:r>
          </w:p>
        </w:tc>
      </w:tr>
      <w:tr w:rsidR="005C5577" w:rsidTr="00E6575C">
        <w:trPr>
          <w:jc w:val="center"/>
        </w:trPr>
        <w:tc>
          <w:tcPr>
            <w:tcW w:w="1413" w:type="dxa"/>
            <w:vMerge/>
            <w:tcBorders>
              <w:left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w:t>
            </w:r>
          </w:p>
        </w:tc>
        <w:tc>
          <w:tcPr>
            <w:tcW w:w="6379" w:type="dxa"/>
            <w:tcBorders>
              <w:top w:val="single" w:sz="4" w:space="0" w:color="000000"/>
              <w:left w:val="single" w:sz="4" w:space="0" w:color="000000"/>
              <w:bottom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各国议会联盟（IPU）</w:t>
            </w:r>
          </w:p>
        </w:tc>
      </w:tr>
      <w:tr w:rsidR="005C5577" w:rsidTr="00E6575C">
        <w:trPr>
          <w:jc w:val="center"/>
        </w:trPr>
        <w:tc>
          <w:tcPr>
            <w:tcW w:w="1413" w:type="dxa"/>
            <w:vMerge/>
            <w:tcBorders>
              <w:left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w:t>
            </w:r>
          </w:p>
        </w:tc>
        <w:tc>
          <w:tcPr>
            <w:tcW w:w="6379" w:type="dxa"/>
            <w:tcBorders>
              <w:top w:val="single" w:sz="4" w:space="0" w:color="000000"/>
              <w:left w:val="single" w:sz="4" w:space="0" w:color="000000"/>
              <w:bottom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上海合作组织（SCO）</w:t>
            </w:r>
          </w:p>
        </w:tc>
      </w:tr>
      <w:tr w:rsidR="005C5577" w:rsidTr="00E6575C">
        <w:trPr>
          <w:jc w:val="center"/>
        </w:trPr>
        <w:tc>
          <w:tcPr>
            <w:tcW w:w="1413" w:type="dxa"/>
            <w:vMerge/>
            <w:tcBorders>
              <w:left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w:t>
            </w:r>
          </w:p>
        </w:tc>
        <w:tc>
          <w:tcPr>
            <w:tcW w:w="6379" w:type="dxa"/>
            <w:tcBorders>
              <w:top w:val="single" w:sz="4" w:space="0" w:color="000000"/>
              <w:left w:val="single" w:sz="4" w:space="0" w:color="000000"/>
              <w:bottom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国际刑事法院（ICC）</w:t>
            </w:r>
          </w:p>
        </w:tc>
      </w:tr>
      <w:tr w:rsidR="005C5577" w:rsidTr="00E6575C">
        <w:trPr>
          <w:jc w:val="center"/>
        </w:trPr>
        <w:tc>
          <w:tcPr>
            <w:tcW w:w="1413" w:type="dxa"/>
            <w:vMerge/>
            <w:tcBorders>
              <w:left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5</w:t>
            </w:r>
          </w:p>
        </w:tc>
        <w:tc>
          <w:tcPr>
            <w:tcW w:w="6379" w:type="dxa"/>
            <w:tcBorders>
              <w:top w:val="single" w:sz="4" w:space="0" w:color="000000"/>
              <w:left w:val="single" w:sz="4" w:space="0" w:color="000000"/>
              <w:bottom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上合组织地区反恐怖机构（SCO）</w:t>
            </w:r>
          </w:p>
        </w:tc>
      </w:tr>
      <w:tr w:rsidR="005C5577" w:rsidTr="00E6575C">
        <w:trPr>
          <w:jc w:val="center"/>
        </w:trPr>
        <w:tc>
          <w:tcPr>
            <w:tcW w:w="1413" w:type="dxa"/>
            <w:vMerge/>
            <w:tcBorders>
              <w:left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6</w:t>
            </w:r>
          </w:p>
        </w:tc>
        <w:tc>
          <w:tcPr>
            <w:tcW w:w="6379" w:type="dxa"/>
            <w:tcBorders>
              <w:top w:val="single" w:sz="4" w:space="0" w:color="000000"/>
              <w:left w:val="single" w:sz="4" w:space="0" w:color="000000"/>
              <w:bottom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国际海洋法庭（ITLOS）</w:t>
            </w:r>
          </w:p>
        </w:tc>
      </w:tr>
      <w:tr w:rsidR="005C5577" w:rsidTr="00E6575C">
        <w:trPr>
          <w:jc w:val="center"/>
        </w:trPr>
        <w:tc>
          <w:tcPr>
            <w:tcW w:w="1413" w:type="dxa"/>
            <w:vMerge/>
            <w:tcBorders>
              <w:left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7</w:t>
            </w:r>
          </w:p>
        </w:tc>
        <w:tc>
          <w:tcPr>
            <w:tcW w:w="6379" w:type="dxa"/>
            <w:tcBorders>
              <w:top w:val="single" w:sz="4" w:space="0" w:color="000000"/>
              <w:left w:val="single" w:sz="4" w:space="0" w:color="000000"/>
              <w:bottom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国际船级社协会（IACS）</w:t>
            </w:r>
          </w:p>
        </w:tc>
      </w:tr>
      <w:tr w:rsidR="005C5577" w:rsidTr="00E6575C">
        <w:trPr>
          <w:jc w:val="center"/>
        </w:trPr>
        <w:tc>
          <w:tcPr>
            <w:tcW w:w="1413" w:type="dxa"/>
            <w:vMerge/>
            <w:tcBorders>
              <w:left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C5577" w:rsidRPr="00817241" w:rsidRDefault="005C5577"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hint="eastAsia"/>
                <w:kern w:val="2"/>
              </w:rPr>
              <w:t>8</w:t>
            </w:r>
          </w:p>
        </w:tc>
        <w:tc>
          <w:tcPr>
            <w:tcW w:w="6379" w:type="dxa"/>
            <w:tcBorders>
              <w:top w:val="single" w:sz="4" w:space="0" w:color="000000"/>
              <w:left w:val="single" w:sz="4" w:space="0" w:color="000000"/>
              <w:bottom w:val="single" w:sz="4" w:space="0" w:color="000000"/>
              <w:right w:val="single" w:sz="4" w:space="0" w:color="000000"/>
            </w:tcBorders>
          </w:tcPr>
          <w:p w:rsidR="005C5577" w:rsidRPr="00817241" w:rsidRDefault="005C5577"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hint="eastAsia"/>
                <w:kern w:val="2"/>
              </w:rPr>
              <w:t>行</w:t>
            </w:r>
            <w:r>
              <w:rPr>
                <w:rStyle w:val="NormalCharacter"/>
                <w:rFonts w:ascii="宋体" w:eastAsia="宋体" w:hAnsi="宋体"/>
                <w:kern w:val="2"/>
              </w:rPr>
              <w:t>政首长协调理事会</w:t>
            </w:r>
          </w:p>
        </w:tc>
      </w:tr>
      <w:tr w:rsidR="005C5577" w:rsidTr="00E6575C">
        <w:trPr>
          <w:jc w:val="center"/>
        </w:trPr>
        <w:tc>
          <w:tcPr>
            <w:tcW w:w="1413" w:type="dxa"/>
            <w:vMerge/>
            <w:tcBorders>
              <w:left w:val="single" w:sz="4" w:space="0" w:color="000000"/>
              <w:bottom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C5577" w:rsidRPr="00817241" w:rsidRDefault="005C5577"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hint="eastAsia"/>
                <w:kern w:val="2"/>
              </w:rPr>
              <w:t>9</w:t>
            </w:r>
          </w:p>
        </w:tc>
        <w:tc>
          <w:tcPr>
            <w:tcW w:w="6379" w:type="dxa"/>
            <w:tcBorders>
              <w:top w:val="single" w:sz="4" w:space="0" w:color="000000"/>
              <w:left w:val="single" w:sz="4" w:space="0" w:color="000000"/>
              <w:bottom w:val="single" w:sz="4" w:space="0" w:color="000000"/>
              <w:right w:val="single" w:sz="4" w:space="0" w:color="000000"/>
            </w:tcBorders>
          </w:tcPr>
          <w:p w:rsidR="005C5577" w:rsidRDefault="005C5577"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hint="eastAsia"/>
                <w:kern w:val="2"/>
              </w:rPr>
              <w:t>国</w:t>
            </w:r>
            <w:r>
              <w:rPr>
                <w:rStyle w:val="NormalCharacter"/>
                <w:rFonts w:ascii="宋体" w:eastAsia="宋体" w:hAnsi="宋体"/>
                <w:kern w:val="2"/>
              </w:rPr>
              <w:t>际刑事警察组织（</w:t>
            </w:r>
            <w:r>
              <w:rPr>
                <w:rStyle w:val="NormalCharacter"/>
                <w:rFonts w:ascii="宋体" w:eastAsia="宋体" w:hAnsi="宋体" w:hint="eastAsia"/>
                <w:kern w:val="2"/>
              </w:rPr>
              <w:t>INTERPOL）</w:t>
            </w:r>
          </w:p>
        </w:tc>
      </w:tr>
      <w:tr w:rsidR="007A45D8">
        <w:trPr>
          <w:jc w:val="center"/>
        </w:trPr>
        <w:tc>
          <w:tcPr>
            <w:tcW w:w="1413" w:type="dxa"/>
            <w:vMerge w:val="restart"/>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科技合作领域</w:t>
            </w: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亚太空间合作组织（APSCO）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平方公里阵列射电望远镜（SKA）</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国际电工委员会（IEC）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国际遗传工程和生物技术中心（ICGEB）</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国际地理联合会（IGU）</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国际生物科学联合会（IUBS）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国际大地测量与地球物理学联合会（IUGG）</w:t>
            </w:r>
          </w:p>
        </w:tc>
      </w:tr>
      <w:tr w:rsidR="007A45D8">
        <w:trPr>
          <w:trHeight w:val="274"/>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EA16C5"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kern w:val="2"/>
              </w:rPr>
              <w:t>国际科学史与科学哲</w:t>
            </w:r>
            <w:r w:rsidR="00FB3516" w:rsidRPr="00817241">
              <w:rPr>
                <w:rStyle w:val="NormalCharacter"/>
                <w:rFonts w:ascii="宋体" w:eastAsia="宋体" w:hAnsi="宋体"/>
                <w:kern w:val="2"/>
              </w:rPr>
              <w:t>学联盟/科学史分会（IUHPS/DHS）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国际纯粹与应用生物物理联合会（IUPAB）</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国际心理科学联合会（</w:t>
            </w:r>
            <w:proofErr w:type="spellStart"/>
            <w:r w:rsidRPr="00817241">
              <w:rPr>
                <w:rStyle w:val="NormalCharacter"/>
                <w:rFonts w:ascii="宋体" w:eastAsia="宋体" w:hAnsi="宋体"/>
                <w:kern w:val="2"/>
              </w:rPr>
              <w:t>IUPsyS</w:t>
            </w:r>
            <w:proofErr w:type="spellEnd"/>
            <w:r w:rsidRPr="00817241">
              <w:rPr>
                <w:rStyle w:val="NormalCharacter"/>
                <w:rFonts w:ascii="宋体" w:eastAsia="宋体" w:hAnsi="宋体"/>
                <w:kern w:val="2"/>
              </w:rPr>
              <w:t>）</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国际无线电科学联盟（URSI）</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国际科学理事会（ICSU）</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国际热核聚变试验堆组织（ITER）</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国际法制计量组织（OIML）</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亚太工程学会联合会（FEIAP）</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国际数学联盟（IMU）</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国际晶体学联合会（</w:t>
            </w:r>
            <w:proofErr w:type="spellStart"/>
            <w:r w:rsidRPr="00817241">
              <w:rPr>
                <w:rStyle w:val="NormalCharacter"/>
                <w:rFonts w:ascii="宋体" w:eastAsia="宋体" w:hAnsi="宋体"/>
                <w:kern w:val="2"/>
              </w:rPr>
              <w:t>IUCr</w:t>
            </w:r>
            <w:proofErr w:type="spellEnd"/>
            <w:r w:rsidRPr="00817241">
              <w:rPr>
                <w:rStyle w:val="NormalCharacter"/>
                <w:rFonts w:ascii="宋体" w:eastAsia="宋体" w:hAnsi="宋体"/>
                <w:kern w:val="2"/>
              </w:rPr>
              <w:t>）</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国际地质科学联合会（IUGS）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国际医学物理与医学工程联合会</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国际微生物学会联合会（IUMS）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国际土壤科学联合会（IUSS）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国际营养科学联合会（IUNS）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世界工程组织联合会（WFEO）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地球观测组织（GEO）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国际米制公约组织（BIPM）</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国际天文学联合会（IAU）</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国际摄影测量与遥感学会（ISPRS）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国际食品科技联盟（</w:t>
            </w:r>
            <w:proofErr w:type="spellStart"/>
            <w:r w:rsidRPr="00817241">
              <w:rPr>
                <w:rStyle w:val="NormalCharacter"/>
                <w:rFonts w:ascii="宋体" w:eastAsia="宋体" w:hAnsi="宋体"/>
                <w:kern w:val="2"/>
              </w:rPr>
              <w:t>IUFoST</w:t>
            </w:r>
            <w:proofErr w:type="spellEnd"/>
            <w:r w:rsidRPr="00817241">
              <w:rPr>
                <w:rStyle w:val="NormalCharacter"/>
                <w:rFonts w:ascii="宋体" w:eastAsia="宋体" w:hAnsi="宋体"/>
                <w:kern w:val="2"/>
              </w:rPr>
              <w:t>）</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国际材料研究学会联合会（IUMRS）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国际纯粹与应用物理联合会（IUPAP）</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国际基础与临床药理学联合会（IUPHAR）</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国际理论与应用力学联合会（IUTAM）</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亚太空间合作组织（APSCO）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国际标准化组织（ISO）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国际能效合作伙伴关系（IPEEC）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国际脑研究组织（IBRO）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国际生物化学与分子生物学联盟（IUBMB）</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国际林业研究组织联盟（IUFRO）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国际免疫学联合会（IUIS）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国际纯粹与应用化学联合会（IUPAC）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国际生理科学联合会（IUPS）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国际毒学联合会（IUTOX）</w:t>
            </w:r>
          </w:p>
        </w:tc>
      </w:tr>
      <w:tr w:rsidR="007A45D8">
        <w:trPr>
          <w:jc w:val="center"/>
        </w:trPr>
        <w:tc>
          <w:tcPr>
            <w:tcW w:w="1413" w:type="dxa"/>
            <w:vMerge w:val="restart"/>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社会、标准制定领域</w:t>
            </w: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国际油污基金组织（IOPC Funds）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国际认可论坛（IAF）</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国际热带木材组织（ITTO）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国际社会保障协会（ISSA）</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国际搜救卫星组织（COSPAS-SARSAT）</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亚太电信组织（APT）</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国际计量测试联合会（IMEKO）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8</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国际发展法律组织（IDLO）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9</w:t>
            </w:r>
          </w:p>
        </w:tc>
        <w:tc>
          <w:tcPr>
            <w:tcW w:w="6379" w:type="dxa"/>
            <w:tcBorders>
              <w:top w:val="single" w:sz="4" w:space="0" w:color="000000"/>
              <w:left w:val="single" w:sz="4" w:space="0" w:color="000000"/>
              <w:bottom w:val="single" w:sz="4" w:space="0" w:color="000000"/>
              <w:right w:val="single" w:sz="4" w:space="0" w:color="000000"/>
            </w:tcBorders>
          </w:tcPr>
          <w:p w:rsidR="007A45D8" w:rsidRDefault="00022F8A"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kern w:val="2"/>
              </w:rPr>
              <w:t>联</w:t>
            </w:r>
            <w:r w:rsidR="00FB3516" w:rsidRPr="00817241">
              <w:rPr>
                <w:rStyle w:val="NormalCharacter"/>
                <w:rFonts w:ascii="宋体" w:eastAsia="宋体" w:hAnsi="宋体"/>
                <w:kern w:val="2"/>
              </w:rPr>
              <w:t>合国大学（UNU）</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10</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亚洲船级社协会（ACS）</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国际物品编码协会（GS1）</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亚太计量规划组织（APMP）</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88525B"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kern w:val="2"/>
              </w:rPr>
              <w:t>13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国际海道测量组织（IHO）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88525B"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kern w:val="2"/>
              </w:rPr>
              <w:t>14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国际实验室认可合作组织（ILAC）</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88525B"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kern w:val="2"/>
              </w:rPr>
              <w:t>15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亚太法制计量论坛（APLMF）</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88525B"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kern w:val="2"/>
              </w:rPr>
              <w:t>16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国际统一司法协会（UNIDROIT）</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88525B" w:rsidP="001E4116">
            <w:pPr>
              <w:snapToGrid w:val="0"/>
              <w:spacing w:before="60" w:after="60" w:line="240" w:lineRule="auto"/>
              <w:jc w:val="center"/>
              <w:rPr>
                <w:rStyle w:val="NormalCharacter"/>
                <w:rFonts w:ascii="宋体" w:eastAsia="宋体" w:hAnsi="宋体"/>
                <w:kern w:val="2"/>
              </w:rPr>
            </w:pPr>
            <w:r>
              <w:rPr>
                <w:rStyle w:val="NormalCharacter"/>
                <w:rFonts w:ascii="宋体" w:eastAsia="宋体" w:hAnsi="宋体"/>
                <w:kern w:val="2"/>
              </w:rPr>
              <w:t>17</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国际航标协会（IALA）</w:t>
            </w:r>
          </w:p>
        </w:tc>
      </w:tr>
      <w:tr w:rsidR="007A45D8">
        <w:trPr>
          <w:jc w:val="center"/>
        </w:trPr>
        <w:tc>
          <w:tcPr>
            <w:tcW w:w="1413" w:type="dxa"/>
            <w:vMerge w:val="restart"/>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总部在华国际组织</w:t>
            </w: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1</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国际竹藤组织（INBAR）</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2</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上海合作组织（SCO）</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3</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国际数字地球学会（</w:t>
            </w:r>
            <w:r w:rsidRPr="0065143B">
              <w:rPr>
                <w:rStyle w:val="NormalCharacter"/>
                <w:rFonts w:ascii="宋体" w:eastAsia="宋体" w:hAnsi="宋体"/>
                <w:kern w:val="2"/>
              </w:rPr>
              <w:t>SDE）</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4</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金砖国家开发银行（</w:t>
            </w:r>
            <w:r w:rsidRPr="0065143B">
              <w:rPr>
                <w:rStyle w:val="NormalCharacter"/>
                <w:rFonts w:ascii="宋体" w:eastAsia="宋体" w:hAnsi="宋体"/>
                <w:kern w:val="2"/>
              </w:rPr>
              <w:t>NDB）</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5</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亚洲基础设施投资银行（</w:t>
            </w:r>
            <w:r w:rsidRPr="0065143B">
              <w:rPr>
                <w:rStyle w:val="NormalCharacter"/>
                <w:rFonts w:ascii="宋体" w:eastAsia="宋体" w:hAnsi="宋体"/>
                <w:kern w:val="2"/>
              </w:rPr>
              <w:t>AIIB）</w:t>
            </w:r>
          </w:p>
        </w:tc>
      </w:tr>
      <w:tr w:rsidR="007A45D8">
        <w:trPr>
          <w:jc w:val="center"/>
        </w:trPr>
        <w:tc>
          <w:tcPr>
            <w:tcW w:w="1413" w:type="dxa"/>
            <w:vMerge/>
            <w:tcBorders>
              <w:top w:val="single" w:sz="4" w:space="0" w:color="000000"/>
              <w:left w:val="single" w:sz="4" w:space="0" w:color="000000"/>
              <w:bottom w:val="single" w:sz="4" w:space="0" w:color="000000"/>
              <w:right w:val="single" w:sz="4" w:space="0" w:color="000000"/>
            </w:tcBorders>
          </w:tcPr>
          <w:p w:rsidR="007A45D8" w:rsidRDefault="007A45D8" w:rsidP="001E4116">
            <w:pPr>
              <w:snapToGrid w:val="0"/>
              <w:spacing w:before="60" w:after="60" w:line="240" w:lineRule="auto"/>
              <w:jc w:val="center"/>
              <w:rPr>
                <w:rStyle w:val="NormalCharacter"/>
                <w:rFonts w:ascii="宋体" w:eastAsia="宋体" w:hAnsi="宋体"/>
                <w:kern w:val="2"/>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6</w:t>
            </w:r>
          </w:p>
        </w:tc>
        <w:tc>
          <w:tcPr>
            <w:tcW w:w="6379" w:type="dxa"/>
            <w:tcBorders>
              <w:top w:val="single" w:sz="4" w:space="0" w:color="000000"/>
              <w:left w:val="single" w:sz="4" w:space="0" w:color="000000"/>
              <w:bottom w:val="single" w:sz="4" w:space="0" w:color="000000"/>
              <w:right w:val="single" w:sz="4" w:space="0" w:color="000000"/>
            </w:tcBorders>
          </w:tcPr>
          <w:p w:rsidR="007A45D8" w:rsidRDefault="00FB3516" w:rsidP="001E4116">
            <w:pPr>
              <w:snapToGrid w:val="0"/>
              <w:spacing w:before="60" w:after="60" w:line="240" w:lineRule="auto"/>
              <w:jc w:val="center"/>
              <w:rPr>
                <w:rStyle w:val="NormalCharacter"/>
                <w:rFonts w:ascii="宋体" w:eastAsia="宋体" w:hAnsi="宋体"/>
                <w:kern w:val="2"/>
              </w:rPr>
            </w:pPr>
            <w:r w:rsidRPr="00817241">
              <w:rPr>
                <w:rStyle w:val="NormalCharacter"/>
                <w:rFonts w:ascii="宋体" w:eastAsia="宋体" w:hAnsi="宋体"/>
                <w:kern w:val="2"/>
              </w:rPr>
              <w:t>联合国教科文组织教师教育中心</w:t>
            </w:r>
            <w:r w:rsidR="001554E5">
              <w:rPr>
                <w:rStyle w:val="NormalCharacter"/>
                <w:rFonts w:ascii="宋体" w:eastAsia="宋体" w:hAnsi="宋体"/>
                <w:kern w:val="2"/>
              </w:rPr>
              <w:t>（</w:t>
            </w:r>
            <w:r w:rsidR="001554E5" w:rsidRPr="0065143B">
              <w:rPr>
                <w:rStyle w:val="NormalCharacter"/>
                <w:rFonts w:ascii="宋体" w:eastAsia="宋体" w:hAnsi="宋体"/>
                <w:kern w:val="2"/>
              </w:rPr>
              <w:t>UNESCO TEC）</w:t>
            </w:r>
          </w:p>
        </w:tc>
      </w:tr>
    </w:tbl>
    <w:p w:rsidR="007A45D8" w:rsidRDefault="007A45D8" w:rsidP="001E4116">
      <w:pPr>
        <w:snapToGrid w:val="0"/>
        <w:jc w:val="center"/>
        <w:rPr>
          <w:rStyle w:val="NormalCharacter"/>
          <w:rFonts w:ascii="宋体" w:eastAsia="宋体" w:hAnsi="宋体"/>
          <w:sz w:val="28"/>
          <w:szCs w:val="28"/>
        </w:rPr>
      </w:pPr>
    </w:p>
    <w:sectPr w:rsidR="007A45D8">
      <w:footerReference w:type="even" r:id="rId6"/>
      <w:footerReference w:type="default" r:id="rId7"/>
      <w:pgSz w:w="12240" w:h="15840"/>
      <w:pgMar w:top="1418" w:right="1701"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A1A" w:rsidRDefault="00AA6A1A">
      <w:pPr>
        <w:spacing w:after="0" w:line="240" w:lineRule="auto"/>
      </w:pPr>
      <w:r>
        <w:separator/>
      </w:r>
    </w:p>
  </w:endnote>
  <w:endnote w:type="continuationSeparator" w:id="0">
    <w:p w:rsidR="00AA6A1A" w:rsidRDefault="00A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altName w:val="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egoe UI">
    <w:altName w:val="Segoe UI"/>
    <w:panose1 w:val="020B0502040204020203"/>
    <w:charset w:val="00"/>
    <w:family w:val="swiss"/>
    <w:pitch w:val="variable"/>
    <w:sig w:usb0="E10022FF" w:usb1="C000E47F" w:usb2="00000029" w:usb3="00000000" w:csb0="000001D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5D8" w:rsidRDefault="007A45D8" w:rsidP="00817241">
    <w:pPr>
      <w:pStyle w:val="a6"/>
      <w:framePr w:wrap="around" w:hAnchor="text" w:xAlign="center"/>
      <w:rPr>
        <w:rStyle w:val="PageNumber"/>
      </w:rPr>
    </w:pPr>
  </w:p>
  <w:p w:rsidR="007A45D8" w:rsidRDefault="007A45D8">
    <w:pPr>
      <w:pStyle w:val="a6"/>
      <w:rPr>
        <w:rStyle w:val="NormalCharacte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5D8" w:rsidRDefault="00817241" w:rsidP="00817241">
    <w:pPr>
      <w:pStyle w:val="a6"/>
      <w:framePr w:wrap="around" w:hAnchor="text" w:xAlign="center"/>
      <w:rPr>
        <w:rStyle w:val="PageNumber"/>
      </w:rPr>
    </w:pPr>
    <w:r>
      <w:rPr>
        <w:rStyle w:val="PageNumber"/>
      </w:rPr>
      <w:t>—  —</w:t>
    </w:r>
  </w:p>
  <w:p w:rsidR="007A45D8" w:rsidRDefault="007A45D8">
    <w:pPr>
      <w:pStyle w:val="a6"/>
      <w:rPr>
        <w:rStyle w:val="NormalCharact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A1A" w:rsidRDefault="00AA6A1A">
      <w:pPr>
        <w:spacing w:after="0" w:line="240" w:lineRule="auto"/>
      </w:pPr>
      <w:r>
        <w:separator/>
      </w:r>
    </w:p>
  </w:footnote>
  <w:footnote w:type="continuationSeparator" w:id="0">
    <w:p w:rsidR="00AA6A1A" w:rsidRDefault="00AA6A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oNotUseMarginsForDrawingGridOrigin/>
  <w:noPunctuationKerning/>
  <w:characterSpacingControl w:val="doNotCompress"/>
  <w:footnotePr>
    <w:footnote w:id="-1"/>
    <w:footnote w:id="0"/>
  </w:footnotePr>
  <w:endnotePr>
    <w:endnote w:id="-1"/>
    <w:endnote w:id="0"/>
  </w:endnotePr>
  <w:compat>
    <w:spaceForUL/>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7A45D8"/>
    <w:rsid w:val="00022F8A"/>
    <w:rsid w:val="000F2215"/>
    <w:rsid w:val="001554E5"/>
    <w:rsid w:val="001D1153"/>
    <w:rsid w:val="001E4116"/>
    <w:rsid w:val="00285B14"/>
    <w:rsid w:val="002A4866"/>
    <w:rsid w:val="00431F2B"/>
    <w:rsid w:val="005A37E8"/>
    <w:rsid w:val="005C5577"/>
    <w:rsid w:val="0065143B"/>
    <w:rsid w:val="007A45D8"/>
    <w:rsid w:val="00817241"/>
    <w:rsid w:val="008475EE"/>
    <w:rsid w:val="0088525B"/>
    <w:rsid w:val="00887A58"/>
    <w:rsid w:val="008F2C7B"/>
    <w:rsid w:val="00AA6A1A"/>
    <w:rsid w:val="00B67D1B"/>
    <w:rsid w:val="00C97C43"/>
    <w:rsid w:val="00CE38BC"/>
    <w:rsid w:val="00DA6B36"/>
    <w:rsid w:val="00E10328"/>
    <w:rsid w:val="00EA16C5"/>
    <w:rsid w:val="00F32496"/>
    <w:rsid w:val="00F83169"/>
    <w:rsid w:val="00F9279E"/>
    <w:rsid w:val="00FB3516"/>
    <w:rsid w:val="00FE2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62129-449D-4818-8A76-1D84EEFC8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等线"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160" w:line="259" w:lineRule="auto"/>
      <w:textAlignment w:val="baseline"/>
    </w:pPr>
    <w:rPr>
      <w:rFonts w:ascii="仿宋" w:hAnsi="仿宋"/>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1"/>
    <w:basedOn w:val="a"/>
    <w:next w:val="a"/>
    <w:pPr>
      <w:keepNext/>
      <w:keepLines/>
      <w:spacing w:before="240" w:after="0"/>
    </w:pPr>
    <w:rPr>
      <w:rFonts w:ascii="Calibri Light" w:eastAsia="等线 Light" w:hAnsi="Calibri Light"/>
      <w:color w:val="2E74B5"/>
      <w:sz w:val="32"/>
      <w:szCs w:val="32"/>
    </w:rPr>
  </w:style>
  <w:style w:type="paragraph" w:customStyle="1" w:styleId="Heading2">
    <w:name w:val="Heading2"/>
    <w:basedOn w:val="a"/>
    <w:next w:val="a"/>
    <w:pPr>
      <w:keepNext/>
      <w:keepLines/>
      <w:spacing w:before="40" w:after="0"/>
    </w:pPr>
    <w:rPr>
      <w:rFonts w:ascii="Calibri Light" w:eastAsia="等线 Light" w:hAnsi="Calibri Light"/>
      <w:color w:val="2E74B5"/>
      <w:sz w:val="26"/>
      <w:szCs w:val="26"/>
    </w:rPr>
  </w:style>
  <w:style w:type="character" w:customStyle="1" w:styleId="NormalCharacter">
    <w:name w:val="NormalCharacter"/>
  </w:style>
  <w:style w:type="table" w:customStyle="1" w:styleId="TableNormal">
    <w:name w:val="TableNormal"/>
    <w:tblPr>
      <w:tblCellMar>
        <w:top w:w="0" w:type="dxa"/>
        <w:left w:w="0" w:type="dxa"/>
        <w:bottom w:w="0" w:type="dxa"/>
        <w:right w:w="0" w:type="dxa"/>
      </w:tblCellMar>
    </w:tblPr>
  </w:style>
  <w:style w:type="numbering" w:customStyle="1" w:styleId="NormalList">
    <w:name w:val="NormalList"/>
    <w:semiHidden/>
  </w:style>
  <w:style w:type="character" w:customStyle="1" w:styleId="a3">
    <w:name w:val="页眉 字符"/>
    <w:link w:val="a4"/>
    <w:rPr>
      <w:rFonts w:ascii="仿宋" w:hAnsi="仿宋"/>
      <w:sz w:val="18"/>
      <w:szCs w:val="18"/>
    </w:rPr>
  </w:style>
  <w:style w:type="character" w:customStyle="1" w:styleId="UserStyle1">
    <w:name w:val="UserStyle_1"/>
    <w:link w:val="AnnotationSubject"/>
    <w:semiHidden/>
    <w:rPr>
      <w:rFonts w:ascii="仿宋" w:hAnsi="仿宋" w:cs="Times New Roman"/>
      <w:b/>
      <w:bCs/>
      <w:sz w:val="20"/>
      <w:szCs w:val="20"/>
    </w:rPr>
  </w:style>
  <w:style w:type="character" w:customStyle="1" w:styleId="UserStyle2">
    <w:name w:val="UserStyle_2"/>
    <w:rPr>
      <w:rFonts w:ascii="Calibri Light" w:eastAsia="等线 Light" w:hAnsi="Calibri Light"/>
      <w:color w:val="2E74B5"/>
      <w:sz w:val="32"/>
      <w:szCs w:val="32"/>
    </w:rPr>
  </w:style>
  <w:style w:type="character" w:customStyle="1" w:styleId="a5">
    <w:name w:val="页脚 字符"/>
    <w:link w:val="a6"/>
    <w:rPr>
      <w:rFonts w:ascii="仿宋" w:hAnsi="仿宋"/>
      <w:sz w:val="18"/>
      <w:szCs w:val="18"/>
    </w:rPr>
  </w:style>
  <w:style w:type="character" w:customStyle="1" w:styleId="UserStyle4">
    <w:name w:val="UserStyle_4"/>
    <w:link w:val="AnnotationText"/>
    <w:semiHidden/>
    <w:rPr>
      <w:rFonts w:ascii="仿宋" w:hAnsi="仿宋"/>
      <w:sz w:val="20"/>
      <w:szCs w:val="20"/>
    </w:rPr>
  </w:style>
  <w:style w:type="character" w:customStyle="1" w:styleId="UserStyle5">
    <w:name w:val="UserStyle_5"/>
    <w:rPr>
      <w:rFonts w:ascii="Calibri Light" w:eastAsia="等线 Light" w:hAnsi="Calibri Light"/>
      <w:color w:val="2E74B5"/>
      <w:sz w:val="26"/>
      <w:szCs w:val="26"/>
    </w:rPr>
  </w:style>
  <w:style w:type="character" w:customStyle="1" w:styleId="UserStyle6">
    <w:name w:val="UserStyle_6"/>
    <w:link w:val="Acetate"/>
    <w:semiHidden/>
    <w:rPr>
      <w:rFonts w:ascii="Segoe UI" w:hAnsi="Segoe UI"/>
      <w:sz w:val="18"/>
      <w:szCs w:val="18"/>
    </w:rPr>
  </w:style>
  <w:style w:type="character" w:customStyle="1" w:styleId="AnnotationReference">
    <w:name w:val="AnnotationReference"/>
    <w:rPr>
      <w:sz w:val="16"/>
      <w:szCs w:val="16"/>
    </w:rPr>
  </w:style>
  <w:style w:type="character" w:customStyle="1" w:styleId="a7">
    <w:name w:val="标题 字符"/>
    <w:link w:val="a8"/>
    <w:rPr>
      <w:rFonts w:ascii="Calibri Light" w:eastAsia="等线 Light" w:hAnsi="Calibri Light"/>
      <w:spacing w:val="-10"/>
      <w:kern w:val="28"/>
      <w:sz w:val="56"/>
      <w:szCs w:val="56"/>
    </w:rPr>
  </w:style>
  <w:style w:type="paragraph" w:customStyle="1" w:styleId="AnnotationText">
    <w:name w:val="AnnotationText"/>
    <w:basedOn w:val="a"/>
    <w:link w:val="UserStyle4"/>
    <w:pPr>
      <w:spacing w:line="240" w:lineRule="auto"/>
    </w:pPr>
    <w:rPr>
      <w:sz w:val="20"/>
      <w:szCs w:val="20"/>
    </w:rPr>
  </w:style>
  <w:style w:type="paragraph" w:styleId="a8">
    <w:name w:val="Title"/>
    <w:basedOn w:val="a"/>
    <w:next w:val="a"/>
    <w:link w:val="a7"/>
    <w:pPr>
      <w:spacing w:after="0" w:line="240" w:lineRule="auto"/>
      <w:contextualSpacing/>
    </w:pPr>
    <w:rPr>
      <w:rFonts w:ascii="Calibri Light" w:eastAsia="等线 Light" w:hAnsi="Calibri Light"/>
      <w:spacing w:val="-10"/>
      <w:kern w:val="28"/>
      <w:sz w:val="56"/>
      <w:szCs w:val="56"/>
    </w:rPr>
  </w:style>
  <w:style w:type="paragraph" w:customStyle="1" w:styleId="HtmlNormal">
    <w:name w:val="HtmlNormal"/>
    <w:basedOn w:val="a"/>
    <w:pPr>
      <w:spacing w:after="0" w:line="240" w:lineRule="auto"/>
    </w:pPr>
    <w:rPr>
      <w:rFonts w:ascii="Calibri" w:eastAsia="宋体" w:hAnsi="Calibri"/>
      <w:szCs w:val="24"/>
    </w:rPr>
  </w:style>
  <w:style w:type="paragraph" w:customStyle="1" w:styleId="179">
    <w:name w:val="179"/>
    <w:basedOn w:val="a"/>
    <w:pPr>
      <w:ind w:left="720"/>
      <w:contextualSpacing/>
    </w:pPr>
  </w:style>
  <w:style w:type="paragraph" w:styleId="a4">
    <w:name w:val="header"/>
    <w:basedOn w:val="a"/>
    <w:link w:val="a3"/>
    <w:pPr>
      <w:pBdr>
        <w:bottom w:val="single" w:sz="6" w:space="1" w:color="000000"/>
      </w:pBdr>
      <w:tabs>
        <w:tab w:val="center" w:pos="4153"/>
        <w:tab w:val="right" w:pos="8306"/>
      </w:tabs>
      <w:snapToGrid w:val="0"/>
      <w:spacing w:line="240" w:lineRule="auto"/>
      <w:jc w:val="center"/>
    </w:pPr>
    <w:rPr>
      <w:sz w:val="18"/>
      <w:szCs w:val="18"/>
    </w:rPr>
  </w:style>
  <w:style w:type="paragraph" w:styleId="a6">
    <w:name w:val="footer"/>
    <w:basedOn w:val="a"/>
    <w:link w:val="a5"/>
    <w:pPr>
      <w:tabs>
        <w:tab w:val="center" w:pos="4153"/>
        <w:tab w:val="right" w:pos="8306"/>
      </w:tabs>
      <w:snapToGrid w:val="0"/>
      <w:spacing w:line="240" w:lineRule="auto"/>
    </w:pPr>
    <w:rPr>
      <w:sz w:val="18"/>
      <w:szCs w:val="18"/>
    </w:rPr>
  </w:style>
  <w:style w:type="paragraph" w:customStyle="1" w:styleId="Acetate">
    <w:name w:val="Acetate"/>
    <w:basedOn w:val="a"/>
    <w:link w:val="UserStyle6"/>
    <w:pPr>
      <w:spacing w:after="0" w:line="240" w:lineRule="auto"/>
    </w:pPr>
    <w:rPr>
      <w:rFonts w:ascii="Segoe UI" w:hAnsi="Segoe UI"/>
      <w:sz w:val="18"/>
      <w:szCs w:val="18"/>
    </w:rPr>
  </w:style>
  <w:style w:type="paragraph" w:customStyle="1" w:styleId="AnnotationSubject">
    <w:name w:val="AnnotationSubject"/>
    <w:basedOn w:val="AnnotationText"/>
    <w:next w:val="AnnotationText"/>
    <w:link w:val="UserStyle1"/>
  </w:style>
  <w:style w:type="table" w:customStyle="1" w:styleId="TableGrid">
    <w:name w:val="TableGrid"/>
    <w:basedOn w:val="TableNormal"/>
    <w:tblPr/>
  </w:style>
  <w:style w:type="character" w:customStyle="1" w:styleId="PageNumber">
    <w:name w:val="PageNumber"/>
    <w:basedOn w:val="NormalCharacter"/>
  </w:style>
  <w:style w:type="paragraph" w:styleId="a9">
    <w:name w:val="Balloon Text"/>
    <w:basedOn w:val="a"/>
    <w:link w:val="aa"/>
    <w:uiPriority w:val="99"/>
    <w:semiHidden/>
    <w:unhideWhenUsed/>
    <w:rsid w:val="00F83169"/>
    <w:pPr>
      <w:spacing w:after="0" w:line="240" w:lineRule="auto"/>
    </w:pPr>
    <w:rPr>
      <w:sz w:val="18"/>
      <w:szCs w:val="18"/>
    </w:rPr>
  </w:style>
  <w:style w:type="character" w:customStyle="1" w:styleId="aa">
    <w:name w:val="批注框文本 字符"/>
    <w:basedOn w:val="a0"/>
    <w:link w:val="a9"/>
    <w:uiPriority w:val="99"/>
    <w:semiHidden/>
    <w:rsid w:val="00F83169"/>
    <w:rPr>
      <w:rFonts w:ascii="仿宋" w:hAnsi="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1</Pages>
  <Words>565</Words>
  <Characters>3222</Characters>
  <Application>Microsoft Office Word</Application>
  <DocSecurity>0</DocSecurity>
  <Lines>26</Lines>
  <Paragraphs>7</Paragraphs>
  <ScaleCrop>false</ScaleCrop>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8</cp:revision>
  <cp:lastPrinted>2022-09-06T06:36:00Z</cp:lastPrinted>
  <dcterms:created xsi:type="dcterms:W3CDTF">2022-06-15T03:02:00Z</dcterms:created>
  <dcterms:modified xsi:type="dcterms:W3CDTF">2022-09-06T06:36:00Z</dcterms:modified>
</cp:coreProperties>
</file>